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F4" w:rsidRDefault="00131309" w:rsidP="00160D2E">
      <w:pPr>
        <w:jc w:val="right"/>
        <w:rPr>
          <w:rFonts w:ascii="Times New Roman" w:hAnsi="Times New Roman"/>
          <w:b/>
          <w:bCs/>
          <w:i/>
          <w:iCs/>
          <w:color w:val="000000"/>
          <w:sz w:val="26"/>
          <w:szCs w:val="26"/>
          <w:lang w:val="en"/>
        </w:rPr>
      </w:pPr>
      <w:r w:rsidRPr="00F75520">
        <w:rPr>
          <w:rFonts w:ascii="Times New Roman" w:hAnsi="Times New Roman"/>
          <w:b/>
          <w:i/>
          <w:noProof/>
          <w:sz w:val="26"/>
          <w:szCs w:val="26"/>
          <w:lang w:val="en-US" w:eastAsia="en-US"/>
        </w:rPr>
        <w:drawing>
          <wp:anchor distT="0" distB="0" distL="114300" distR="114300" simplePos="0" relativeHeight="251659264" behindDoc="0" locked="0" layoutInCell="1" allowOverlap="1" wp14:anchorId="6DDE4D77" wp14:editId="044EB8B5">
            <wp:simplePos x="0" y="0"/>
            <wp:positionH relativeFrom="margin">
              <wp:posOffset>0</wp:posOffset>
            </wp:positionH>
            <wp:positionV relativeFrom="margin">
              <wp:posOffset>0</wp:posOffset>
            </wp:positionV>
            <wp:extent cx="1771650" cy="6191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FF4" w:rsidRDefault="00916FF4" w:rsidP="00160D2E">
      <w:pPr>
        <w:jc w:val="right"/>
        <w:rPr>
          <w:rFonts w:ascii="Times New Roman" w:hAnsi="Times New Roman"/>
          <w:b/>
          <w:bCs/>
          <w:i/>
          <w:iCs/>
          <w:color w:val="000000"/>
          <w:sz w:val="26"/>
          <w:szCs w:val="26"/>
          <w:lang w:val="en"/>
        </w:rPr>
      </w:pPr>
    </w:p>
    <w:p w:rsidR="00916FF4" w:rsidRDefault="00916FF4" w:rsidP="00160D2E">
      <w:pPr>
        <w:jc w:val="right"/>
        <w:rPr>
          <w:rFonts w:ascii="Times New Roman" w:hAnsi="Times New Roman"/>
          <w:b/>
          <w:bCs/>
          <w:i/>
          <w:iCs/>
          <w:color w:val="000000"/>
          <w:sz w:val="26"/>
          <w:szCs w:val="26"/>
          <w:lang w:val="en"/>
        </w:rPr>
      </w:pPr>
    </w:p>
    <w:p w:rsidR="00916FF4" w:rsidRDefault="00916FF4" w:rsidP="00160D2E">
      <w:pPr>
        <w:jc w:val="right"/>
        <w:rPr>
          <w:rFonts w:ascii="Times New Roman" w:hAnsi="Times New Roman"/>
          <w:b/>
          <w:bCs/>
          <w:i/>
          <w:iCs/>
          <w:color w:val="000000"/>
          <w:sz w:val="26"/>
          <w:szCs w:val="26"/>
          <w:lang w:val="en"/>
        </w:rPr>
      </w:pPr>
    </w:p>
    <w:p w:rsidR="00160D2E" w:rsidRDefault="00F75520" w:rsidP="00160D2E">
      <w:pPr>
        <w:jc w:val="right"/>
        <w:rPr>
          <w:rFonts w:ascii="Times New Roman" w:hAnsi="Times New Roman"/>
          <w:b/>
          <w:bCs/>
          <w:i/>
          <w:iCs/>
          <w:color w:val="000000"/>
          <w:sz w:val="26"/>
          <w:szCs w:val="26"/>
          <w:lang w:val="en"/>
        </w:rPr>
      </w:pPr>
      <w:r w:rsidRPr="00F75520">
        <w:rPr>
          <w:rFonts w:ascii="Times New Roman" w:hAnsi="Times New Roman"/>
          <w:b/>
          <w:bCs/>
          <w:i/>
          <w:iCs/>
          <w:color w:val="000000"/>
          <w:sz w:val="26"/>
          <w:szCs w:val="26"/>
          <w:lang w:val="en"/>
        </w:rPr>
        <w:t xml:space="preserve"> </w:t>
      </w:r>
    </w:p>
    <w:p w:rsidR="00131309" w:rsidRDefault="00131309" w:rsidP="00131309">
      <w:pPr>
        <w:spacing w:after="360"/>
        <w:rPr>
          <w:rFonts w:ascii="Verdana" w:hAnsi="Verdana"/>
          <w:color w:val="000000"/>
          <w:sz w:val="20"/>
          <w:szCs w:val="20"/>
          <w:lang w:val="en"/>
        </w:rPr>
      </w:pPr>
    </w:p>
    <w:p w:rsidR="00916FF4" w:rsidRDefault="00916FF4" w:rsidP="00916FF4">
      <w:pPr>
        <w:rPr>
          <w:rStyle w:val="Strong"/>
          <w:rFonts w:ascii="Arial" w:hAnsi="Arial" w:cs="Arial"/>
          <w:color w:val="454545"/>
          <w:sz w:val="36"/>
          <w:szCs w:val="36"/>
        </w:rPr>
      </w:pPr>
      <w:r>
        <w:rPr>
          <w:rStyle w:val="Strong"/>
          <w:rFonts w:ascii="Arial" w:hAnsi="Arial" w:cs="Arial"/>
          <w:color w:val="454545"/>
          <w:sz w:val="36"/>
          <w:szCs w:val="36"/>
        </w:rPr>
        <w:t xml:space="preserve">Hon. Michael </w:t>
      </w:r>
      <w:proofErr w:type="spellStart"/>
      <w:r>
        <w:rPr>
          <w:rStyle w:val="Strong"/>
          <w:rFonts w:ascii="Arial" w:hAnsi="Arial" w:cs="Arial"/>
          <w:color w:val="454545"/>
          <w:sz w:val="36"/>
          <w:szCs w:val="36"/>
        </w:rPr>
        <w:t>Coteau</w:t>
      </w:r>
      <w:proofErr w:type="spellEnd"/>
      <w:r>
        <w:rPr>
          <w:rStyle w:val="Strong"/>
          <w:rFonts w:ascii="Arial" w:hAnsi="Arial" w:cs="Arial"/>
          <w:color w:val="454545"/>
          <w:sz w:val="36"/>
          <w:szCs w:val="36"/>
        </w:rPr>
        <w:t xml:space="preserve"> talks to The Voice about how the proposed new Child, Youth and Family Services Act will be a game changer for child welfare</w:t>
      </w:r>
    </w:p>
    <w:p w:rsidR="00916FF4" w:rsidRDefault="00916FF4" w:rsidP="00916FF4">
      <w:pPr>
        <w:rPr>
          <w:rFonts w:ascii="Times New Roman" w:hAnsi="Times New Roman"/>
          <w:lang w:eastAsia="en-US"/>
        </w:rPr>
      </w:pPr>
    </w:p>
    <w:p w:rsidR="00916FF4" w:rsidRDefault="00916FF4" w:rsidP="00916FF4">
      <w:r>
        <w:rPr>
          <w:rStyle w:val="Strong"/>
          <w:rFonts w:ascii="Arial" w:hAnsi="Arial" w:cs="Arial"/>
          <w:color w:val="5A6064"/>
        </w:rPr>
        <w:t xml:space="preserve">  </w:t>
      </w:r>
    </w:p>
    <w:p w:rsidR="00916FF4" w:rsidRDefault="00916FF4" w:rsidP="00916FF4">
      <w:pPr>
        <w:pStyle w:val="Heading2"/>
        <w:rPr>
          <w:rFonts w:eastAsia="Times New Roman"/>
        </w:rPr>
      </w:pPr>
      <w:r>
        <w:rPr>
          <w:noProof/>
        </w:rPr>
        <w:drawing>
          <wp:anchor distT="63500" distB="63500" distL="63500" distR="63500" simplePos="0" relativeHeight="251661312" behindDoc="0" locked="0" layoutInCell="1" allowOverlap="0">
            <wp:simplePos x="0" y="0"/>
            <wp:positionH relativeFrom="column">
              <wp:align>left</wp:align>
            </wp:positionH>
            <wp:positionV relativeFrom="line">
              <wp:posOffset>0</wp:posOffset>
            </wp:positionV>
            <wp:extent cx="2619375" cy="1962150"/>
            <wp:effectExtent l="0" t="0" r="9525" b="0"/>
            <wp:wrapSquare wrapText="bothSides"/>
            <wp:docPr id="3" name="Picture 3" descr="http://www.oacas.org/wp-content/uploads/2017/01/Minister-Coteau-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cas.org/wp-content/uploads/2017/01/Minister-Coteau-Graphic.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454545"/>
          <w:sz w:val="22"/>
          <w:szCs w:val="22"/>
        </w:rPr>
        <w:t xml:space="preserve">When you announced </w:t>
      </w:r>
      <w:hyperlink r:id="rId7" w:tgtFrame="_blank" w:history="1">
        <w:r>
          <w:rPr>
            <w:rStyle w:val="Hyperlink"/>
            <w:rFonts w:ascii="Arial" w:eastAsia="Times New Roman" w:hAnsi="Arial" w:cs="Arial"/>
            <w:color w:val="008000"/>
            <w:sz w:val="22"/>
            <w:szCs w:val="22"/>
          </w:rPr>
          <w:t>the new Child, Youth and Family Services Act</w:t>
        </w:r>
      </w:hyperlink>
      <w:r>
        <w:rPr>
          <w:rFonts w:ascii="Arial" w:eastAsia="Times New Roman" w:hAnsi="Arial" w:cs="Arial"/>
          <w:color w:val="454545"/>
          <w:sz w:val="22"/>
          <w:szCs w:val="22"/>
        </w:rPr>
        <w:t xml:space="preserve"> you said it was the biggest game changer in child protection in decades. Are there particular parts of the Act that you are most excited about?</w:t>
      </w:r>
    </w:p>
    <w:p w:rsidR="00916FF4" w:rsidRDefault="00916FF4" w:rsidP="00916FF4">
      <w:pPr>
        <w:spacing w:after="240"/>
      </w:pPr>
      <w:r>
        <w:rPr>
          <w:rFonts w:ascii="Arial" w:hAnsi="Arial" w:cs="Arial"/>
          <w:color w:val="454545"/>
        </w:rPr>
        <w:t>There are three pieces that really stand out for me.</w:t>
      </w:r>
    </w:p>
    <w:p w:rsidR="00916FF4" w:rsidRDefault="00916FF4" w:rsidP="00916FF4">
      <w:r>
        <w:rPr>
          <w:rFonts w:ascii="Arial" w:hAnsi="Arial" w:cs="Arial"/>
          <w:color w:val="454545"/>
        </w:rPr>
        <w:t>Raising the age of protection to 18 is a massive one. I cannot believe that a 16 or 17-year old would not be protected as we speak. Our perception of who should be protected and who shouldn't be protected, I think that's changed a lot over time. But I think for my generation, there is no question that a 16 or 17-year old should be protected. They need our help and the fact that 1,600 kids would fall into that catchment in the first year, it shocks me. Raising the age of protection will prevent homelessness and prevent sex trafficking, so it's just the right thing to do</w:t>
      </w:r>
      <w:r>
        <w:rPr>
          <w:rStyle w:val="Strong"/>
          <w:rFonts w:ascii="Arial" w:hAnsi="Arial" w:cs="Arial"/>
          <w:color w:val="454545"/>
        </w:rPr>
        <w:t>.</w:t>
      </w:r>
    </w:p>
    <w:p w:rsidR="00160D2E" w:rsidRDefault="00916FF4" w:rsidP="00916FF4">
      <w:pPr>
        <w:spacing w:after="240"/>
        <w:rPr>
          <w:rFonts w:asciiTheme="minorHAnsi" w:hAnsiTheme="minorHAnsi"/>
          <w:color w:val="454545"/>
          <w:sz w:val="24"/>
          <w:szCs w:val="24"/>
        </w:rPr>
      </w:pPr>
      <w:r>
        <w:rPr>
          <w:rFonts w:ascii="Arial" w:hAnsi="Arial" w:cs="Arial"/>
          <w:color w:val="5A6064"/>
        </w:rPr>
        <w:br/>
      </w:r>
      <w:r>
        <w:rPr>
          <w:rFonts w:ascii="Arial" w:hAnsi="Arial" w:cs="Arial"/>
          <w:color w:val="5A6064"/>
        </w:rPr>
        <w:br/>
      </w:r>
      <w:bookmarkStart w:id="0" w:name="_GoBack"/>
      <w:bookmarkEnd w:id="0"/>
      <w:r>
        <w:rPr>
          <w:rStyle w:val="Strong"/>
          <w:rFonts w:ascii="Arial" w:hAnsi="Arial" w:cs="Arial"/>
          <w:color w:val="5A6064"/>
        </w:rPr>
        <w:t xml:space="preserve">Find out the other parts of the legislation that stand out to the Minister, and more, </w:t>
      </w:r>
      <w:hyperlink r:id="rId8" w:tgtFrame="_blank" w:history="1">
        <w:r>
          <w:rPr>
            <w:rStyle w:val="Hyperlink"/>
            <w:rFonts w:ascii="Arial" w:hAnsi="Arial" w:cs="Arial"/>
            <w:b/>
            <w:bCs/>
            <w:color w:val="008000"/>
          </w:rPr>
          <w:t>here</w:t>
        </w:r>
      </w:hyperlink>
      <w:r>
        <w:rPr>
          <w:rStyle w:val="Strong"/>
          <w:rFonts w:ascii="Arial" w:hAnsi="Arial" w:cs="Arial"/>
          <w:color w:val="5A6064"/>
        </w:rPr>
        <w:t>.</w:t>
      </w:r>
    </w:p>
    <w:sectPr w:rsidR="00160D2E" w:rsidSect="00160D2E">
      <w:pgSz w:w="12240" w:h="15840"/>
      <w:pgMar w:top="1440" w:right="1350" w:bottom="720" w:left="990" w:header="720" w:footer="720" w:gutter="0"/>
      <w:pgBorders w:offsetFrom="page">
        <w:top w:val="single" w:sz="12" w:space="24" w:color="C45911" w:themeColor="accent2" w:themeShade="BF"/>
        <w:left w:val="single" w:sz="12" w:space="24" w:color="C45911" w:themeColor="accent2" w:themeShade="BF"/>
        <w:bottom w:val="single" w:sz="12" w:space="24" w:color="C45911" w:themeColor="accent2" w:themeShade="BF"/>
        <w:right w:val="single" w:sz="12"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15826"/>
    <w:multiLevelType w:val="multilevel"/>
    <w:tmpl w:val="0440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09"/>
    <w:rsid w:val="00131309"/>
    <w:rsid w:val="00160D2E"/>
    <w:rsid w:val="00234D52"/>
    <w:rsid w:val="004E1062"/>
    <w:rsid w:val="00510D73"/>
    <w:rsid w:val="007C17EC"/>
    <w:rsid w:val="00916FF4"/>
    <w:rsid w:val="00981330"/>
    <w:rsid w:val="00C34BE4"/>
    <w:rsid w:val="00C82840"/>
    <w:rsid w:val="00DA3ABB"/>
    <w:rsid w:val="00F75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567DC5-F895-4D53-B093-8C8B22BC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09"/>
    <w:pPr>
      <w:spacing w:after="0" w:line="240" w:lineRule="auto"/>
    </w:pPr>
    <w:rPr>
      <w:rFonts w:ascii="Calibri" w:hAnsi="Calibri" w:cs="Times New Roman"/>
      <w:lang w:eastAsia="en-CA"/>
    </w:rPr>
  </w:style>
  <w:style w:type="paragraph" w:styleId="Heading2">
    <w:name w:val="heading 2"/>
    <w:basedOn w:val="Normal"/>
    <w:link w:val="Heading2Char"/>
    <w:uiPriority w:val="9"/>
    <w:semiHidden/>
    <w:unhideWhenUsed/>
    <w:qFormat/>
    <w:rsid w:val="00916FF4"/>
    <w:pPr>
      <w:spacing w:before="100" w:beforeAutospacing="1" w:after="100" w:afterAutospacing="1"/>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309"/>
    <w:rPr>
      <w:color w:val="0000FF"/>
      <w:u w:val="single"/>
    </w:rPr>
  </w:style>
  <w:style w:type="paragraph" w:customStyle="1" w:styleId="Default">
    <w:name w:val="Default"/>
    <w:rsid w:val="007C17EC"/>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81330"/>
    <w:rPr>
      <w:color w:val="954F72" w:themeColor="followedHyperlink"/>
      <w:u w:val="single"/>
    </w:rPr>
  </w:style>
  <w:style w:type="paragraph" w:styleId="BalloonText">
    <w:name w:val="Balloon Text"/>
    <w:basedOn w:val="Normal"/>
    <w:link w:val="BalloonTextChar"/>
    <w:uiPriority w:val="99"/>
    <w:semiHidden/>
    <w:unhideWhenUsed/>
    <w:rsid w:val="00F75520"/>
    <w:rPr>
      <w:rFonts w:ascii="Tahoma" w:hAnsi="Tahoma" w:cs="Tahoma"/>
      <w:sz w:val="16"/>
      <w:szCs w:val="16"/>
    </w:rPr>
  </w:style>
  <w:style w:type="character" w:customStyle="1" w:styleId="BalloonTextChar">
    <w:name w:val="Balloon Text Char"/>
    <w:basedOn w:val="DefaultParagraphFont"/>
    <w:link w:val="BalloonText"/>
    <w:uiPriority w:val="99"/>
    <w:semiHidden/>
    <w:rsid w:val="00F75520"/>
    <w:rPr>
      <w:rFonts w:ascii="Tahoma" w:hAnsi="Tahoma" w:cs="Tahoma"/>
      <w:sz w:val="16"/>
      <w:szCs w:val="16"/>
      <w:lang w:eastAsia="en-CA"/>
    </w:rPr>
  </w:style>
  <w:style w:type="character" w:customStyle="1" w:styleId="Heading2Char">
    <w:name w:val="Heading 2 Char"/>
    <w:basedOn w:val="DefaultParagraphFont"/>
    <w:link w:val="Heading2"/>
    <w:uiPriority w:val="9"/>
    <w:semiHidden/>
    <w:rsid w:val="00916FF4"/>
    <w:rPr>
      <w:rFonts w:ascii="Times New Roman" w:hAnsi="Times New Roman" w:cs="Times New Roman"/>
      <w:b/>
      <w:bCs/>
      <w:sz w:val="36"/>
      <w:szCs w:val="36"/>
      <w:lang w:val="en-US"/>
    </w:rPr>
  </w:style>
  <w:style w:type="character" w:styleId="Strong">
    <w:name w:val="Strong"/>
    <w:basedOn w:val="DefaultParagraphFont"/>
    <w:uiPriority w:val="22"/>
    <w:qFormat/>
    <w:rsid w:val="00916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99980">
      <w:bodyDiv w:val="1"/>
      <w:marLeft w:val="0"/>
      <w:marRight w:val="0"/>
      <w:marTop w:val="0"/>
      <w:marBottom w:val="0"/>
      <w:divBdr>
        <w:top w:val="none" w:sz="0" w:space="0" w:color="auto"/>
        <w:left w:val="none" w:sz="0" w:space="0" w:color="auto"/>
        <w:bottom w:val="none" w:sz="0" w:space="0" w:color="auto"/>
        <w:right w:val="none" w:sz="0" w:space="0" w:color="auto"/>
      </w:divBdr>
    </w:div>
    <w:div w:id="10561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G8kFLGae0u0pWow0qZAS7DpgSXy6qz7-xXut7xOTx49Rx7aLSq_sTq9vgA3HE6AhEqdDlBj9W-gwR-CGUrHcZZg5LPomIQAGCTrWHKhkWz-xNahjzirflRm7x2x58JevCpv4UI33bOlUEfh_Dlfyi19gV5WE-ocMmYE_kHOu2pxhOJGLLjTv59O_Y8icV82U4jc7aWvasp-bEYru1EDVpRFWgl5reop_iSd4nXJEserFVVg2uVidj0Nc6vE4i3cs-_qjKiZaZINZOqmrMbqssFztrVx8lAohaCdPQl46EyWSZXsR7JmYqZZjj7P4gU0k-kgYj9ku3aa4Sqj2bL0LA3j_EY3ULk63VWyL3bUl4pECnzjqSeKjbg==&amp;c=7vLdVP6QJyRIAshGu93KpUyOdZIrd719wne5c6p_vHnLKWRgcqW3Nw==&amp;ch=eYZjZzKEffylWKVBtB95lNGRueCcT2GnTpzSl08BLyTggGsiEahZ-w==" TargetMode="External"/><Relationship Id="rId3" Type="http://schemas.openxmlformats.org/officeDocument/2006/relationships/settings" Target="settings.xml"/><Relationship Id="rId7" Type="http://schemas.openxmlformats.org/officeDocument/2006/relationships/hyperlink" Target="http://r20.rs6.net/tn.jsp?f=001G8kFLGae0u0pWow0qZAS7DpgSXy6qz7-xXut7xOTx49Rx7aLSq_sTq9vgA3HE6Ahssbt5pnnCWTSiwFmax4ETC7pJOIHAcyl-vZt69ngmmgygkNtgxWBgIMtcQfhmdzEroLCEQ8MgjMT6ZwzSA9crItedrUGMIpjQPP4cAGV9VWHMemBDjNEgOdnnpqRSx8j6revn0mnexazleDwNjl96LgQWPmXVW_olCzYpmGvJD3pPgo0sOxYSFr_tWJgZDSA&amp;c=7vLdVP6QJyRIAshGu93KpUyOdZIrd719wne5c6p_vHnLKWRgcqW3Nw==&amp;ch=eYZjZzKEffylWKVBtB95lNGRueCcT2GnTpzSl08BLyTggGsiEah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oacas.org/wp-content/uploads/2017/01/Minister-Coteau-Graphic.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Clark</dc:creator>
  <cp:lastModifiedBy>Lynn Clark</cp:lastModifiedBy>
  <cp:revision>2</cp:revision>
  <dcterms:created xsi:type="dcterms:W3CDTF">2017-02-03T21:35:00Z</dcterms:created>
  <dcterms:modified xsi:type="dcterms:W3CDTF">2017-02-03T21:35:00Z</dcterms:modified>
</cp:coreProperties>
</file>